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22 178 vom 14. Juni 2023</w:t>
      </w:r>
    </w:p>
    <w:p>
      <w:r>
        <w:t>VS Kantonsgericht, 2023-06-14, DE</w:t>
      </w:r>
    </w:p>
    <w:p>
      <w:r>
        <w:rPr>
          <w:b/>
        </w:rPr>
        <w:t xml:space="preserve">Quelle: </w:t>
      </w:r>
      <w:r>
        <w:t>https://mcp.opencaselaw.ch/entscheid/vs_gerichte_S1 22 178</w:t>
      </w:r>
    </w:p>
    <w:p>
      <w:r>
        <w:t>FR: VS_GERICHTE S1 22 178 du 14 juin 2023</w:t>
      </w:r>
    </w:p>
    <w:p>
      <w:r>
        <w:t>IT: VS_GERICHTE S1 22 178 del 14 giugno 2023</w:t>
      </w:r>
    </w:p>
    <w:p>
      <w:pPr>
        <w:pStyle w:val="Heading2"/>
      </w:pPr>
      <w:r>
        <w:t>Regeste</w:t>
      </w:r>
    </w:p>
    <w:p>
      <w:r>
        <w:t>S1 22 178 URTEIL VOM 14. JUNI 2023 Kantonsgericht Wallis Sozialversicherungsrechtliche Abteilung Besetzung: Michael Steiner, Präsident; Candido Prada und Dr. Thierrry Schnyder, Kantonsrichter; Renata Kreuzer, Gerichtsschreiberin in Sachen X _________, Beschwerdeführer, vertreten durch Rechtsanwältin Graziella Walker Salz- mann, 3904 Naters gegen KANTONALE IV-STELLE, 1950 Sitten, Beschwerdegegnerin (Nichteintreten auf Neuanmeldung) Beschwerde gegen die Verfügung vom 28. September 2022</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w:t>
      </w:r>
    </w:p>
    <w:p>
      <w:r>
        <w:t>- 6 -</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das, dass die Ansprüche nach den neuen Gesetzes- und Verordnungsbestimmungen zu prü- fen sind.</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ob die IV-Stelle auf die Neuanmeldung vom April 2022 zu Recht nicht eintrat. Prozessthema bildet somit die Frage, ob es im Sinne von Art. 87 Abs.</w:t>
      </w:r>
    </w:p>
    <w:p>
      <w:r>
        <w:rPr>
          <w:b/>
        </w:rPr>
        <w:t>E. 3</w:t>
      </w:r>
    </w:p>
    <w:p>
      <w:r>
        <w:t>der Verordnung über die Invalidenversicherung vom 17. Januar 1961 (IVV) glaubhaft ist, dass sich der Grad der Invalidität aufgrund einer massgeblichen Verschlechterung des Gesundheitszustands seit Erlass der Verfügung vom 26. Februar 2018 bis zur Nicht- eintretensverfügung vom 20. September 2022 in einer für den Anspruch auf eine Rente erheblichen Weise verändert hat.</w:t>
      </w:r>
    </w:p>
    <w:p>
      <w:r>
        <w:rPr>
          <w:b/>
        </w:rPr>
        <w:t>E. 3.1</w:t>
      </w:r>
    </w:p>
    <w:p>
      <w:r>
        <w:t>Bei der Neuanmeldung und der Rentenrevision handelt es sich zwar nicht um iden- tische, wohl aber um ähnliche Rechtsinstitute, insoweit als beide auf eine erneute Prü- fung der Leistungsansprüche aufgrund veränderter Verhältnisse zielen. Dementspre- chend knüpft das Gesetz das Eintreten auf eine Neuanmeldung an dieselben Voraus- setzungen, wie sie im Falle eines Revisionsgesuchs gelten (Art. 87 Abs. 2 i.V.m. Art. 87 Abs. 3 IVV). Für die neuanmeldungs- wie revisionsrechtlich erforderliche Glaubhaftma- chung einer anspruchserheblichen Änderung des Invaliditätsgrades gelten dabei diesel- ben Beweisanforderungen (BGE 133 V 108 E. 5.2).</w:t>
      </w:r>
    </w:p>
    <w:p>
      <w:r>
        <w:t>- 7 -</w:t>
      </w:r>
    </w:p>
    <w:p>
      <w:r>
        <w:rPr>
          <w:b/>
        </w:rPr>
        <w:t>E. 3.2</w:t>
      </w:r>
    </w:p>
    <w:p>
      <w:r>
        <w:t>Die Invalidenrente wird von Amtes wegen oder auf Gesuch hin für die Zukunft er- höht, herabgesetzt oder aufgehoben, wenn der Invaliditätsgrad einer Rentenbezügerin oder eines Rentenbezügers sich um mindestens fünf Prozentpunkte ändert oder auf 100 Prozent erhöht (Art. 17 Abs. 1 lit. a und b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(BGE 130 V 343 E. 3.5 mit Hin- weisen). Dagegen stellt die bloss unterschiedliche Beurteilung der Auswirkungen eines im Wesentlichen unverändert gebliebenen Gesundheitszustandes auf die Arbeitsfähig- keit für sich allein genommen keinen Revisionsgrund im Sinne von Art. 17 Abs. 1 lit. a und b ATSG dar (Bundesgerichtsurteil 9C_798/2009 vom 12. Januar 2010 E. 3.1). Zeit- liche Vergleichsbasis für die Beurteilung einer anspruchserheblichen Änderung des In- validitätsgrades bildet sowohl bei der Neuanmeldung als auch bei der Rentenrevision die letzte rechtskräftige Verfügung, welche auf einer materiellen Prüfung des Rentenan- spruchs mit rechtskonformer Sachverhaltsabklärung, Beweiswürdigung und Invaliditäts- bemessung beruht (BGE 134 V 131 E. 3 und 133 V 108 E. 5.4; Bundesgerichtsurteil 9C_524/2008 vom 15. Juli 2009 E. 2.2 mit Hinweisen). Dies ist in casu die Verfügung vom 26. Februar 2018.</w:t>
      </w:r>
    </w:p>
    <w:p>
      <w:r>
        <w:rPr>
          <w:b/>
        </w:rPr>
        <w:t>E. 3.3</w:t>
      </w:r>
    </w:p>
    <w:p>
      <w:r>
        <w:t>Gemäss Art. 87 Abs. 2 und 3 IVV wird ein Gesuch um Revision (vgl. Art. 17 ATSG) bzw. eine Neuanmeldung nur geprüft, wenn darin glaubhaft gemacht wird, dass sich der Grad der Invalidität in einer für den Anspruch erheblichen Weise geändert hat. Diese Glaubhaftmachung stellt somit eine formelle Eintretensvoraussetzung dar, welche ver- hindern soll, dass sich die Verwaltung immer wieder mit gleichlautenden und nicht näher begründeten Rentengesuchen befassen muss (BGE 133 V 108 E. 5.3.1). Ist diese Vo- raussetzung nicht erfüllt, ergeht ein Nichteintretensentscheid, der zu einer formellen Er- ledigung des Verfahrens führt (Kieser, ATSG-Kommentar, Zürich/Basel/Genf 2015, N. 142 ff. zu Art. 61 ATSG).</w:t>
      </w:r>
    </w:p>
    <w:p>
      <w:r>
        <w:rPr>
          <w:b/>
        </w:rPr>
        <w:t>E. 3.4</w:t>
      </w:r>
    </w:p>
    <w:p>
      <w:r>
        <w:t>Bei der Prüfung der Eintretensvoraussetzung der glaubhaft zu machenden Ände- rung hat die Verwaltung zu berücksichtigen, ob die frühere Verfügung nur kurze oder schon längere Zeit zurückliegt, was dementsprechend an die Glaubhaftmachung höhere oder weniger hohe Anforderungen stellt (Bundesgerichtsurteil 9C_68/2007 vom 19. Oktober 2007 E. 3.3). Dabei steht ihr ein gewisser Beurteilungsspielraum zu, den der Richter zu respektieren hat (ZAK 1984 S. 350 E. 3). Grundsätzlich sind die Verwaltung</w:t>
      </w:r>
    </w:p>
    <w:p>
      <w:r>
        <w:t>- 8 - und das Gericht für die Invaliditätsbemessung auf die Unterlagen von Ärzten oder ande- ren Fachleuten angewiesen, wobei es für die Glaubhaftmachung einer erheblichen Sachverhaltsänderung nicht genügt, dass im fraglichen Bericht der bereits bekannte, im Zeitpunkt der ursprünglichen Rentenverfügung gegebene Sachverhalt anders bewertet wird und daraus andere Schlussfolgerungen gezogen werden als im früheren Verwal- tungs- und/oder Beschwerdeverfahren. Es bedarf vielmehr neuer Elemente tatsächlicher Natur, die nach der ursprünglichen Rentenverfügung eingetreten und zu dem damals gegebenen Sachverhalt hinzugekommen sind oder diesen verändert haben. Zudem ob- liegt es grundsätzlich dem Versicherten, im Zeitpunkt der Gesuchstellung und während des Abklärungsverfahrens in Anwendung von Art. 87 IVV die geänderte Situation auf eigene Kosten glaubhaft zu machen. Mithin muss der Versicherte, um die Glaubhaftigkeit der Tatsachenveränderung im Sinne von Art. 87 IVV zu untermauern, von sich aus Be- weismittel einreichen (BGE 130 V 64 E. 5.2 mit weiteren Hinweisen).</w:t>
      </w:r>
    </w:p>
    <w:p>
      <w:r>
        <w:rPr>
          <w:b/>
        </w:rPr>
        <w:t>E. 3.5</w:t>
      </w:r>
    </w:p>
    <w:p>
      <w:r>
        <w:t>Glaubhaftmachen im Sinne von Art. 87 Abs. 2 IVV ist nicht als Beweis nach dem im Sozialversicherungsrecht allgemein massgebenden Grad der überwiegenden Wahr- scheinlichkeit zu verstehen. Die Beweisanforderungen sind vielmehr herabgesetzt, in- 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Grundsätzlich unterliegt das Glaubhaftmachen nach Art. 87 Abs. 2 IVV weniger strengen Anforderun- gen als im Zivilprozessrecht. Dort muss - im Gegensatz zum vollen Beweis - das Gericht immerhin überzeugt werden, dass es so, wie behauptet, wahrscheinlich gegangen ist, nicht aber auch, dass es wirklich so gegangen sein muss, weil jede Möglichkeit des Ge- genteils vernünftigerweise auszuschliessen ist (Bundesgerichtsurteil 9C_68/2007 E. 4.4.1 mit Hinweisen).</w:t>
      </w:r>
    </w:p>
    <w:p>
      <w:r>
        <w:rPr>
          <w:b/>
        </w:rPr>
        <w:t>E. 3.6</w:t>
      </w:r>
    </w:p>
    <w:p>
      <w:r>
        <w:t>Wenn den im Rahmen einer Neuanmeldung als Beweismittel eingereichten Arztbe- richten Hinweise entnommen werden können, dass möglicherweise eine mittels weiterer Erhebungen erstellbare rechtserhebliche Änderung vorliegt, besteht eine Verpflichtung der IV-Stelle zur Nachforderung weiterer Angaben. Dies bedeutet jedoch noch kein ma- terielles Eintreten auf die Neuanmeldung (Bundesgerichtsurteil 8C_531/2013 vom 10. Juni 2014 E. 4.1.4).</w:t>
      </w:r>
    </w:p>
    <w:p>
      <w:r>
        <w:t>- 9 -</w:t>
      </w:r>
    </w:p>
    <w:p>
      <w:r>
        <w:rPr>
          <w:b/>
        </w:rPr>
        <w:t>E. 3.7</w:t>
      </w:r>
    </w:p>
    <w:p>
      <w:r>
        <w:t>Die Funktion interner RAD-Berichte besteht darin, aus medizinischer Sicht – gewis- sermassen als Hilfestellung für die medizinischen Laien in Verwaltung und Gerichten, welche in der Folge über den Leistungsanspruch zu entscheiden haben – den medizini- schen Sachverhalt zusammenzufassen und zu würdigen. Dazu gehört namentlich, bei widersprüchlichen medizinischen Akten eine Wertung vorzunehmen und zu beurteilen, ob auf die eine oder andere Ansicht abzustellen oder aber eine zusätzliche ärztliche Untersuchung vorzunehmen sei. Sie würdigen die vorhandenen Befunde aus medizini- scher Sicht (Bundesgerichtsurteil 9C_406/2014 vom 31. Oktober 2014 E. 3.5). Der Beweiswert von RAD-Berichten nach Art. 49 Abs. 2 IVV ist mit jenem externer me- dizinischer Sachverständiger vergleichbar, sofern sie den praxisgemässen Anforderun- gen an ein ärztliches Gutachten (BGE 134 V 231 E. 5.1) genügen und die Arztperson über die notwendigen fachlichen Qualifikationen verfügt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 lichen Feststellungen, sind ergänzende Abklärungen vorzunehmen (BGE 145 V 97 E. 8.5, 142 V 58 E. 5.1).</w:t>
      </w:r>
    </w:p>
    <w:p>
      <w:r>
        <w:rPr>
          <w:b/>
        </w:rPr>
        <w:t>E. 4.1</w:t>
      </w:r>
    </w:p>
    <w:p>
      <w:r>
        <w:t>In casu belegte der Beschwerdeführer die Verschlechterung seines Gesundheitszu- standes mit Arztberichten der Rehaklinik, des beurteilenden Facharztes für Neurologie, der behandelnden Fachärztin für Schmerztherapie und des behandelnden Psychologen. Die RAD-Ärztin, Fachärztin für Allgemeine Medizin, konnte keine tatsächliche Ver- schlechterung des Gesundheitszustandes mit Auswirkung auf die Arbeitsfähigkeit erken- nen. In somatischer Hinsicht gebe es einen einzigen neuen Befund, ein beidseitiges Car- paltunnelsyndrom, das innert Wochen behandelbar sei. Der Rehabilitationsaufenthalt sei in erster Linie wegen der bekannten Schmerzkrankheit erfolgt. Eine depressive Erkran- kung sei nicht belegt. Reaktive depressive Episoden seien auch früher immer wieder aufgetreten. Seit mindestens September 2010 sei von einer anhaltenden somatoformen Schmerzstörung die Rede, später dann von einer chronischen Schmerzerkrankung mit somatischen und psychischen Anteilen, neuerdings tauche auch die Diagnose einer Fib- romyalgie auf. All diese Diagnosen bezeichneten die chronischen Schmerzen als nicht ausreichend somatisch erklärbar. Insgesamt habe der Versicherte keine Verschlechte- rung glaubhaft machen können, weshalb es nicht Sache der IV sei, eine neue Begutach- tung anzuordnen.</w:t>
      </w:r>
    </w:p>
    <w:p>
      <w:r>
        <w:t>- 10 -</w:t>
      </w:r>
    </w:p>
    <w:p>
      <w:r>
        <w:rPr>
          <w:b/>
        </w:rPr>
        <w:t>E. 4.2</w:t>
      </w:r>
    </w:p>
    <w:p>
      <w:r>
        <w:t>Aus den Akten ergibt sich, dass tatsächlich bereits im Jahr 2010 ein chronisches Lumbovertebralsyndrom und eine anhaltende somatoforme Schmerzstörung diagnosti- ziert waren. Deshalb wurde der Beschwerdeführer zur Fachperson Betreuung umge- schult. Die Lehre konnte im Sommer 2017 erfolgreich abgeschlossen werden. Dem Be- schwerdeführer ging es gesundheitlich besser, er arbeitete zu 100%. Die IV-Stelle schloss die beruflichen Massnahmen mit Verfügung vom 26. Februar 2018 erfolgreich ab und verneinte den Anspruch auf eine Invalidenrente. Der letzte RAD-Bericht vor der Verfügung vom 26. Februar 2018 datiert vom 11. September 2012 (a.a.O. S. 483ff.). Die RAD-Ärztin beurteilte die gesundheitliche Si- tuation als unklar und schlug die Einholung eines bidisziplinären Gutachtens in den Fachrichtungen Psychiatrie und Rheumatologie vor. Die Expertise wurde offenbar nie eingeholt, obwohl während der Umschulung gesundheitliche Schwierigkeiten auftraten, die sich indessen besserten, weshalb die IV-Stelle keine Veranlassung mehr hatte, Arzt- oder RAD-Berichte einzuholen, sondern den Fall schlussendlich mit Verfügung vom 26. Februar 2018 abschloss und von einer erfolgreichen, rentenausschliessenden Ein- gliederung des Beschwerdeführers ausging. Mit der Neuanmeldung wurden verschiedene Arztberichte eingereicht. Der Beschwerde- führer war über längere Zeit arbeitsunfähig, stieg dann zu 50% wieder in seinen Beruf ein, erhöhte das Pensum auf 75%, was sich indessen als zu viel erwies. Sowohl die behandelnde Fachärztin für Schmerztherapie als auch der behandelnde Psychologe gin- gen langfristig von einer 50%igen Arbeitsfähigkeit aus. Beide empfahlen die Einholung eines ausserkantonalen Gutachtens der Fachrichtungen Psychiatrie und Rheumatolo- gie. Dasselbe hatte die zuständige RAD-Ärztin im Jahr 2012 vorgeschlagen. Sie beur- teilte den Gesundheitszustand des Beschwerdeführers damals als unklar. Für das er- kennende Gericht ist es nicht nachvollziehbar, wie dieselbe RAD-Ärztin im Jahr 2022 zuverlässig das Vorliegen einer Veränderung des Gesundheitszustandes des Beschwer- deführers beurteilen konnte, wenn dieser Gesundheitszustand im Jahr 2012 (letzter RAD-Bericht vor der Verfügung vom 26. Februar 2018) unklar war. Indem sie eine Ver- änderung verneinte, stellte sie im Grunde genommen implizit fest, dass der Gesund- heitszustand im Jahr 2022 unverändert unklar war. Insgesamt ist jedenfalls festzuhalten, dass sich der medizinische Sachverhalt anhand der vorliegenden Akten nicht erstellen lässt. Bei der beurteilenden RAD-Ärztin handelt es sich zudem weder um eine Fachärztin für Schmerztherapie, noch für Rheumatologie oder Psychiatrie, sondern für Allgemeine Medizin. Bei dieser Sachlage bestehen Zweifel an der versicherungsinternen Einschät-</w:t>
      </w:r>
    </w:p>
    <w:p>
      <w:r>
        <w:t>- 11 - zung des medizinischen Sachverhalts. Zumal die Frage, ob die psychischen Einschrän- kungen des Beschwerdeführers und die Fibromyalgie zu einer Arbeitsunfähigkeit führen, welche auch rechtlich bedeutsam ist, grundsätzlich auf der Grundlage eines strukturier- ten Beweisverfahrens (Standardindikatorenprüfung) nach BGE 141 V 281 und BGE 143 V 418 (vgl. Bundesgerichtsurteil 9C_568/2019 vom 22. November 2019 E. 5.6) zu beur- teilen ist. Eine solche Prüfung fand indes nicht statt und es mangelt auch an zureichen- den medizinischen Grundlagen hierfür.</w:t>
      </w:r>
    </w:p>
    <w:p>
      <w:r>
        <w:rPr>
          <w:b/>
        </w:rPr>
        <w:t>E. 4.3</w:t>
      </w:r>
    </w:p>
    <w:p>
      <w:r>
        <w:t>Die Sache ist deshalb an die IV-Stelle zurückzuweisen, damit sie die notwendigen Abklärungen vornehmen und gestützt darauf die Arbeitsfähigkeit neu beurteilen und über das Vorliegen einer Invalidität verfügen kann.</w:t>
      </w:r>
    </w:p>
    <w:p>
      <w:r>
        <w:rPr>
          <w:b/>
        </w:rPr>
        <w:t>E. 4.4</w:t>
      </w:r>
    </w:p>
    <w:p>
      <w:r>
        <w:t>Nach dem Gesagten ist die IV zu Unrecht und ohne nachvollziehbare Begründung auf die Neuanmeldung nicht eingetreten. Die Beschwerde ist deshalb gutzuheissen.</w:t>
      </w:r>
    </w:p>
    <w:p>
      <w:r>
        <w:rPr>
          <w:b/>
        </w:rPr>
        <w:t>E. 5.1</w:t>
      </w:r>
    </w:p>
    <w:p>
      <w:r>
        <w:t>Das Beschwerdeverfahren bei Streitigkeiten um die Bewilligung oder die Verweige- rung von IV-Leistungen vor dem Kantonsgericht ist kostenpflichtig (Art. Art. 69 Abs. 1bis IVG). Aufgrund des Verfahrensaufwandes sind die Kosten zu Lasten der IV- Stelle auf CHF 500 festzusetzen. Der geleistete Kostenvorschuss in der Höhe von CHF 500 ist dem Beschwerdeführer zurückzuerstatten.</w:t>
      </w:r>
    </w:p>
    <w:p>
      <w:r>
        <w:rPr>
          <w:b/>
        </w:rPr>
        <w:t>E. 5.2</w:t>
      </w:r>
    </w:p>
    <w:p>
      <w:r>
        <w:t>Bei diesem Ausgang des Verfahrens hat der Beschwerdeführer einen Anspruch auf Parteientschädigung, die das Gericht unter Würdigung der Bedeutung und Schwierigkeit der Streitsache, des Umstandes, des Umfangs der Arbeitsleistung sowie der durch den Rechtstreit entstandenen Auslagen auf CHF 1‘800 (inkl. Auslagen und Mehrwertsteuer) festsetzt (Art. 61 lit. g ATSG; Art. 4 GTar).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